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方正黑体_GBK" w:hAnsi="楷体" w:eastAsia="方正黑体_GBK"/>
          <w:sz w:val="32"/>
          <w:szCs w:val="32"/>
        </w:rPr>
      </w:pPr>
      <w:bookmarkStart w:id="0" w:name="_Hlk10494765"/>
      <w:r>
        <w:rPr>
          <w:rFonts w:hint="eastAsia" w:ascii="方正黑体_GBK" w:hAnsi="楷体" w:eastAsia="方正黑体_GBK"/>
          <w:sz w:val="32"/>
          <w:szCs w:val="32"/>
        </w:rPr>
        <w:t>附件</w:t>
      </w:r>
      <w:r>
        <w:rPr>
          <w:rFonts w:ascii="方正黑体_GBK" w:hAnsi="楷体" w:eastAsia="方正黑体_GBK"/>
          <w:sz w:val="32"/>
          <w:szCs w:val="32"/>
        </w:rPr>
        <w:t>2</w:t>
      </w:r>
    </w:p>
    <w:p>
      <w:pPr>
        <w:spacing w:line="600" w:lineRule="exact"/>
        <w:jc w:val="center"/>
        <w:rPr>
          <w:rFonts w:hint="eastAsia" w:ascii="方正小标宋_GBK" w:hAnsi="宋体" w:eastAsia="方正小标宋_GBK"/>
          <w:sz w:val="44"/>
          <w:szCs w:val="44"/>
        </w:rPr>
      </w:pP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202</w:t>
      </w:r>
      <w:r>
        <w:rPr>
          <w:rFonts w:hint="eastAsia" w:ascii="方正小标宋_GBK" w:hAnsi="宋体" w:eastAsia="方正小标宋_GBK"/>
          <w:sz w:val="44"/>
          <w:szCs w:val="44"/>
          <w:lang w:val="en-US" w:eastAsia="zh-CN"/>
        </w:rPr>
        <w:t>2</w:t>
      </w:r>
      <w:r>
        <w:rPr>
          <w:rFonts w:hint="eastAsia" w:ascii="方正小标宋_GBK" w:hAnsi="宋体" w:eastAsia="方正小标宋_GBK"/>
          <w:sz w:val="44"/>
          <w:szCs w:val="44"/>
        </w:rPr>
        <w:t>年安徽省中等职业学校教育教学</w:t>
      </w:r>
    </w:p>
    <w:p>
      <w:pPr>
        <w:spacing w:line="600" w:lineRule="exact"/>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rPr>
        <w:t>技能竞赛暨全国职业院校</w:t>
      </w:r>
      <w:r>
        <w:rPr>
          <w:rFonts w:hint="eastAsia" w:ascii="方正小标宋_GBK" w:hAnsi="宋体" w:eastAsia="方正小标宋_GBK"/>
          <w:sz w:val="44"/>
          <w:szCs w:val="44"/>
          <w:lang w:eastAsia="zh-CN"/>
        </w:rPr>
        <w:t>技能大赛教学能力</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和班主任业务能力</w:t>
      </w:r>
      <w:r>
        <w:rPr>
          <w:rFonts w:hint="eastAsia" w:ascii="方正小标宋_GBK" w:hAnsi="宋体" w:eastAsia="方正小标宋_GBK"/>
          <w:sz w:val="44"/>
          <w:szCs w:val="44"/>
        </w:rPr>
        <w:t>比赛</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选拔赛比赛方案</w:t>
      </w:r>
    </w:p>
    <w:p>
      <w:pPr>
        <w:overflowPunct w:val="0"/>
        <w:snapToGrid w:val="0"/>
        <w:jc w:val="center"/>
        <w:rPr>
          <w:rFonts w:ascii="Times New Roman" w:hAnsi="Times New Roman" w:eastAsia="方正仿宋简体"/>
          <w:sz w:val="32"/>
        </w:rPr>
      </w:pPr>
    </w:p>
    <w:bookmarkEnd w:id="0"/>
    <w:p>
      <w:pPr>
        <w:numPr>
          <w:ilvl w:val="0"/>
          <w:numId w:val="1"/>
        </w:numPr>
        <w:overflowPunct w:val="0"/>
        <w:ind w:firstLine="640" w:firstLineChars="200"/>
        <w:outlineLvl w:val="0"/>
        <w:rPr>
          <w:rFonts w:hint="eastAsia" w:ascii="Times New Roman" w:hAnsi="Times New Roman" w:eastAsia="黑体"/>
          <w:sz w:val="32"/>
        </w:rPr>
      </w:pPr>
      <w:r>
        <w:rPr>
          <w:rFonts w:hint="eastAsia" w:ascii="Times New Roman" w:hAnsi="Times New Roman" w:eastAsia="黑体"/>
          <w:sz w:val="32"/>
        </w:rPr>
        <w:t>指导思想</w:t>
      </w:r>
    </w:p>
    <w:p>
      <w:pPr>
        <w:spacing w:line="600" w:lineRule="exact"/>
        <w:jc w:val="center"/>
        <w:rPr>
          <w:rFonts w:ascii="仿宋_GB2312" w:hAnsi="Times New Roman" w:eastAsia="仿宋_GB2312"/>
          <w:sz w:val="32"/>
        </w:rPr>
      </w:pPr>
      <w:r>
        <w:rPr>
          <w:rFonts w:hint="eastAsia" w:ascii="仿宋_GB2312" w:hAnsi="Times New Roman" w:eastAsia="仿宋_GB2312"/>
          <w:sz w:val="32"/>
          <w:lang w:val="en-US" w:eastAsia="zh-CN"/>
        </w:rPr>
        <w:t xml:space="preserve">   以习近平新时代中国特色社会主义思想为指导，全面贯彻党的教育方针，落实立德树人根本任务，</w:t>
      </w:r>
      <w:r>
        <w:rPr>
          <w:rFonts w:hint="eastAsia" w:ascii="仿宋_GB2312" w:hAnsi="Times New Roman" w:eastAsia="仿宋_GB2312"/>
          <w:sz w:val="32"/>
        </w:rPr>
        <w:t>深入贯彻习近平总书记关于职业教育的重要指示，落实全国职业教育大会精神，按照《国家职业教育改革实施方案》《职业教育提质培优行动计划（</w:t>
      </w:r>
      <w:r>
        <w:rPr>
          <w:rFonts w:ascii="仿宋_GB2312" w:hAnsi="Times New Roman" w:eastAsia="仿宋_GB2312"/>
          <w:sz w:val="32"/>
        </w:rPr>
        <w:t>2020-2023</w:t>
      </w:r>
      <w:r>
        <w:rPr>
          <w:rFonts w:hint="eastAsia" w:ascii="仿宋_GB2312" w:hAnsi="Times New Roman" w:eastAsia="仿宋_GB2312"/>
          <w:sz w:val="32"/>
        </w:rPr>
        <w:t>年）》等部署，坚持“以赛促教、以赛促研，以赛促建、以赛促改”的总体思路，引导各地各校围绕立德树人根本任务，构建“三全育人”体系，深化“课程思政”建设；引导各地各校切实推进国家教学标准落地，积极探索“岗课赛证”融合育人模式，</w:t>
      </w:r>
      <w:r>
        <w:rPr>
          <w:rFonts w:hint="default" w:ascii="仿宋_GB2312" w:hAnsi="Times New Roman" w:eastAsia="仿宋_GB2312"/>
          <w:sz w:val="32"/>
          <w:lang w:val="en-US"/>
        </w:rPr>
        <w:t>创新发展</w:t>
      </w:r>
      <w:r>
        <w:rPr>
          <w:rFonts w:hint="eastAsia" w:ascii="仿宋_GB2312" w:hAnsi="Times New Roman" w:eastAsia="仿宋_GB2312"/>
          <w:sz w:val="32"/>
        </w:rPr>
        <w:t>线上线下混合式教学模式；引导各地各校持续深化教师、教材、教法“三教改革”，持续提升学校在确保质量型扩招等新形势下常态化改进教育教学管理的能力；引导各地各校推进高水平、结构化教师教学团队建设，提高教师的师德践行能力、专业教学能力、综合育人能力和自主发展能力，推动示范性教学，促进“能说会做”的“双师型”教师成长。</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w:t>
      </w:r>
      <w:r>
        <w:rPr>
          <w:rFonts w:hint="eastAsia" w:ascii="Times New Roman" w:hAnsi="Times New Roman" w:eastAsia="黑体"/>
          <w:sz w:val="32"/>
        </w:rPr>
        <w:t>赛项设置</w:t>
      </w:r>
    </w:p>
    <w:p>
      <w:pPr>
        <w:overflowPunct/>
        <w:spacing w:line="600" w:lineRule="exact"/>
        <w:ind w:firstLine="0" w:firstLineChars="0"/>
        <w:jc w:val="center"/>
        <w:rPr>
          <w:rFonts w:hint="eastAsia" w:ascii="仿宋_GB2312" w:hAnsi="Times New Roman" w:eastAsia="仿宋_GB2312"/>
          <w:sz w:val="32"/>
          <w:szCs w:val="22"/>
        </w:rPr>
      </w:pPr>
      <w:r>
        <w:rPr>
          <w:rFonts w:hint="eastAsia" w:ascii="仿宋_GB2312" w:hAnsi="Times New Roman" w:eastAsia="仿宋_GB2312"/>
          <w:sz w:val="32"/>
          <w:szCs w:val="22"/>
        </w:rPr>
        <w:t>比赛分为教师教学能力和班主任业务能力</w:t>
      </w:r>
      <w:r>
        <w:rPr>
          <w:rFonts w:hint="eastAsia" w:ascii="仿宋_GB2312" w:hAnsi="Times New Roman" w:eastAsia="仿宋_GB2312"/>
          <w:sz w:val="32"/>
          <w:szCs w:val="22"/>
          <w:lang w:eastAsia="zh-CN"/>
        </w:rPr>
        <w:t>两类赛项</w:t>
      </w:r>
      <w:r>
        <w:rPr>
          <w:rFonts w:hint="eastAsia" w:ascii="仿宋_GB2312" w:hAnsi="Times New Roman" w:eastAsia="仿宋_GB2312"/>
          <w:sz w:val="32"/>
          <w:szCs w:val="22"/>
        </w:rPr>
        <w:t>。</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三、教师教学能力赛项比赛方案</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（一）比赛要求</w:t>
      </w:r>
    </w:p>
    <w:p>
      <w:pPr>
        <w:overflowPunct w:val="0"/>
        <w:ind w:firstLine="640" w:firstLineChars="200"/>
        <w:rPr>
          <w:rFonts w:ascii="仿宋_GB2312" w:hAnsi="Times New Roman" w:eastAsia="仿宋_GB2312"/>
          <w:sz w:val="32"/>
        </w:rPr>
      </w:pPr>
      <w:r>
        <w:rPr>
          <w:rFonts w:hint="eastAsia" w:ascii="仿宋_GB2312" w:hAnsi="Times New Roman" w:eastAsia="仿宋_GB2312"/>
          <w:sz w:val="32"/>
        </w:rPr>
        <w:t>重点考察教学团队（</w:t>
      </w:r>
      <w:r>
        <w:rPr>
          <w:rFonts w:ascii="仿宋_GB2312" w:hAnsi="Times New Roman" w:eastAsia="仿宋_GB2312"/>
          <w:sz w:val="32"/>
        </w:rPr>
        <w:t>2-4</w:t>
      </w:r>
      <w:r>
        <w:rPr>
          <w:rFonts w:hint="eastAsia" w:ascii="仿宋_GB2312" w:hAnsi="Times New Roman" w:eastAsia="仿宋_GB2312"/>
          <w:sz w:val="32"/>
        </w:rPr>
        <w:t>人）针对某门课程中部分教学内容完成教学设计、实施课堂教学、达成评价目标、进行反思改进的能力。</w:t>
      </w:r>
    </w:p>
    <w:p>
      <w:pPr>
        <w:overflowPunct w:val="0"/>
        <w:ind w:firstLine="640" w:firstLineChars="200"/>
        <w:rPr>
          <w:rFonts w:ascii="仿宋_GB2312" w:hAnsi="Times New Roman" w:eastAsia="仿宋_GB2312"/>
          <w:sz w:val="32"/>
        </w:rPr>
      </w:pPr>
      <w:r>
        <w:rPr>
          <w:rFonts w:ascii="仿宋_GB2312" w:hAnsi="Times New Roman" w:eastAsia="仿宋_GB2312"/>
          <w:sz w:val="32"/>
        </w:rPr>
        <w:t>1.</w:t>
      </w:r>
      <w:r>
        <w:rPr>
          <w:rFonts w:hint="eastAsia" w:ascii="仿宋_GB2312" w:hAnsi="Times New Roman" w:eastAsia="仿宋_GB2312"/>
          <w:sz w:val="32"/>
        </w:rPr>
        <w:t>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目及工作流程、过程等。</w:t>
      </w:r>
    </w:p>
    <w:p>
      <w:pPr>
        <w:overflowPunct w:val="0"/>
        <w:ind w:firstLine="640" w:firstLineChars="200"/>
        <w:rPr>
          <w:rFonts w:ascii="仿宋_GB2312" w:hAnsi="Times New Roman" w:eastAsia="仿宋_GB2312"/>
          <w:sz w:val="32"/>
        </w:rPr>
      </w:pPr>
      <w:r>
        <w:rPr>
          <w:rFonts w:ascii="仿宋_GB2312" w:hAnsi="Times New Roman" w:eastAsia="仿宋_GB2312"/>
          <w:sz w:val="32"/>
        </w:rPr>
        <w:t>2.</w:t>
      </w:r>
      <w:bookmarkStart w:id="1" w:name="_Hlk44541221"/>
      <w:r>
        <w:rPr>
          <w:rFonts w:hint="eastAsia" w:ascii="仿宋_GB2312" w:hAnsi="Times New Roman" w:eastAsia="仿宋_GB2312"/>
          <w:sz w:val="32"/>
        </w:rPr>
        <w:t>教学</w:t>
      </w:r>
      <w:bookmarkEnd w:id="1"/>
      <w:r>
        <w:rPr>
          <w:rFonts w:hint="eastAsia" w:ascii="仿宋_GB2312" w:hAnsi="Times New Roman" w:eastAsia="仿宋_GB2312"/>
          <w:sz w:val="32"/>
        </w:rPr>
        <w:t>设计。</w:t>
      </w:r>
      <w:bookmarkStart w:id="2" w:name="_Hlk44541295"/>
      <w:r>
        <w:rPr>
          <w:rFonts w:hint="eastAsia" w:ascii="仿宋_GB2312" w:hAnsi="Times New Roman" w:eastAsia="仿宋_GB2312"/>
          <w:sz w:val="32"/>
        </w:rPr>
        <w:t>依据学校实际使用的专业人才培养方案和课程标准，针对</w:t>
      </w:r>
      <w:bookmarkEnd w:id="2"/>
      <w:r>
        <w:rPr>
          <w:rFonts w:hint="eastAsia" w:ascii="仿宋_GB2312" w:hAnsi="Times New Roman" w:eastAsia="仿宋_GB2312"/>
          <w:sz w:val="32"/>
        </w:rPr>
        <w:t>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理实一体，实施项目教学、案例教学、情景教学等行动导向教学。中等职业学校应执行《关于加强中小学生手机管理工作的通知》“有限带入校园、禁止带入课堂”的要求。</w:t>
      </w:r>
    </w:p>
    <w:p>
      <w:pPr>
        <w:overflowPunct w:val="0"/>
        <w:ind w:firstLine="640" w:firstLineChars="200"/>
        <w:rPr>
          <w:rFonts w:ascii="仿宋_GB2312" w:hAnsi="Times New Roman" w:eastAsia="仿宋_GB2312"/>
          <w:sz w:val="32"/>
        </w:rPr>
      </w:pPr>
      <w:r>
        <w:rPr>
          <w:rFonts w:ascii="仿宋_GB2312" w:hAnsi="Times New Roman" w:eastAsia="仿宋_GB2312"/>
          <w:sz w:val="32"/>
        </w:rPr>
        <w:t>3.</w:t>
      </w:r>
      <w:r>
        <w:rPr>
          <w:rFonts w:hint="eastAsia" w:ascii="仿宋_GB2312" w:hAnsi="Times New Roman" w:eastAsia="仿宋_GB2312"/>
          <w:sz w:val="32"/>
        </w:rPr>
        <w:t>教学实施</w:t>
      </w:r>
      <w:bookmarkStart w:id="3" w:name="_Hlk37411083"/>
      <w:r>
        <w:rPr>
          <w:rFonts w:hint="eastAsia" w:ascii="仿宋_GB2312" w:hAnsi="Times New Roman" w:eastAsia="仿宋_GB2312"/>
          <w:sz w:val="32"/>
        </w:rPr>
        <w:t>。教学实施应注重实效性，突出教学重点难点的解决方法和策略，</w:t>
      </w:r>
      <w:bookmarkEnd w:id="3"/>
      <w:r>
        <w:rPr>
          <w:rFonts w:hint="eastAsia" w:ascii="仿宋_GB2312" w:hAnsi="Times New Roman" w:eastAsia="仿宋_GB2312"/>
          <w:sz w:val="32"/>
        </w:rPr>
        <w:t>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实和混合现实等信息技术手段，通过教师规范操作、有效示教，提高学生基于任务（项目）分析问题、解决问题的能力。</w:t>
      </w:r>
    </w:p>
    <w:p>
      <w:pPr>
        <w:overflowPunct w:val="0"/>
        <w:ind w:firstLine="640" w:firstLineChars="200"/>
        <w:rPr>
          <w:rFonts w:ascii="仿宋_GB2312" w:hAnsi="Times New Roman" w:eastAsia="仿宋_GB2312"/>
          <w:sz w:val="32"/>
        </w:rPr>
      </w:pPr>
      <w:r>
        <w:rPr>
          <w:rFonts w:ascii="仿宋_GB2312" w:hAnsi="Times New Roman" w:eastAsia="仿宋_GB2312"/>
          <w:sz w:val="32"/>
        </w:rPr>
        <w:t>4.</w:t>
      </w:r>
      <w:r>
        <w:rPr>
          <w:rFonts w:hint="eastAsia" w:ascii="仿宋_GB2312" w:hAnsi="Times New Roman" w:eastAsia="仿宋_GB2312"/>
          <w:sz w:val="32"/>
        </w:rPr>
        <w:t>教学评价。深入贯彻落实《深化新时代教育评价改革总体方案》，改进结果评价，强化过程评价，探索增值评价，健全综合评价；鼓励依托线上平台和软件工具，运用大数据、人工智能等现代信息技术，开展教与学行为分析。</w:t>
      </w:r>
    </w:p>
    <w:p>
      <w:pPr>
        <w:overflowPunct w:val="0"/>
        <w:ind w:firstLine="640" w:firstLineChars="200"/>
        <w:outlineLvl w:val="0"/>
        <w:rPr>
          <w:rFonts w:hint="eastAsia" w:ascii="仿宋_GB2312" w:hAnsi="Times New Roman" w:eastAsia="仿宋_GB2312"/>
          <w:sz w:val="32"/>
        </w:rPr>
      </w:pPr>
      <w:r>
        <w:rPr>
          <w:rFonts w:ascii="仿宋_GB2312" w:hAnsi="Times New Roman" w:eastAsia="仿宋_GB2312"/>
          <w:sz w:val="32"/>
        </w:rPr>
        <w:t>5.</w:t>
      </w:r>
      <w:r>
        <w:rPr>
          <w:rFonts w:hint="eastAsia" w:ascii="仿宋_GB2312" w:hAnsi="Times New Roman" w:eastAsia="仿宋_GB2312"/>
          <w:sz w:val="32"/>
        </w:rPr>
        <w:t>教学反思。教学实施后应充分反思在教学理念、教学设计、教学实施、教学评价过程中形成的经验与存在的不足，总结在课程思政、素养教育、重点突出、难点突破等方面的改革与创新，做到设计理念、教学实施与育人成效的有机统一。</w:t>
      </w:r>
    </w:p>
    <w:p>
      <w:pPr>
        <w:overflowPunct w:val="0"/>
        <w:ind w:firstLine="640" w:firstLineChars="200"/>
        <w:outlineLvl w:val="0"/>
        <w:rPr>
          <w:rFonts w:hint="default" w:ascii="Times New Roman" w:hAnsi="Times New Roman" w:eastAsia="黑体"/>
          <w:sz w:val="32"/>
          <w:lang w:val="en-US" w:eastAsia="zh-CN"/>
        </w:rPr>
      </w:pPr>
      <w:r>
        <w:rPr>
          <w:rFonts w:hint="eastAsia" w:ascii="Times New Roman" w:hAnsi="Times New Roman" w:eastAsia="黑体"/>
          <w:sz w:val="32"/>
          <w:lang w:eastAsia="zh-CN"/>
        </w:rPr>
        <w:t>（</w:t>
      </w:r>
      <w:r>
        <w:rPr>
          <w:rFonts w:hint="eastAsia" w:ascii="Times New Roman" w:hAnsi="Times New Roman" w:eastAsia="黑体"/>
          <w:sz w:val="32"/>
          <w:lang w:val="en-US" w:eastAsia="zh-CN"/>
        </w:rPr>
        <w:t>二</w:t>
      </w:r>
      <w:r>
        <w:rPr>
          <w:rFonts w:hint="eastAsia" w:ascii="Times New Roman" w:hAnsi="Times New Roman" w:eastAsia="黑体"/>
          <w:sz w:val="32"/>
          <w:lang w:eastAsia="zh-CN"/>
        </w:rPr>
        <w:t>）</w:t>
      </w:r>
      <w:r>
        <w:rPr>
          <w:rFonts w:hint="eastAsia" w:ascii="Times New Roman" w:hAnsi="Times New Roman" w:eastAsia="黑体"/>
          <w:sz w:val="32"/>
          <w:lang w:val="en-US" w:eastAsia="zh-CN"/>
        </w:rPr>
        <w:t>参赛对象</w:t>
      </w:r>
    </w:p>
    <w:p>
      <w:pPr>
        <w:overflowPunct w:val="0"/>
        <w:ind w:firstLine="640" w:firstLineChars="200"/>
        <w:rPr>
          <w:rFonts w:ascii="仿宋_GB2312" w:hAnsi="Times New Roman" w:eastAsia="仿宋_GB2312"/>
          <w:sz w:val="32"/>
        </w:rPr>
      </w:pPr>
      <w:r>
        <w:rPr>
          <w:rFonts w:hint="eastAsia" w:ascii="仿宋_GB2312" w:hAnsi="Times New Roman" w:eastAsia="仿宋_GB2312"/>
          <w:sz w:val="32"/>
          <w:lang w:val="en-US" w:eastAsia="zh-CN"/>
        </w:rPr>
        <w:t>1.</w:t>
      </w:r>
      <w:r>
        <w:rPr>
          <w:rFonts w:hint="eastAsia" w:ascii="仿宋_GB2312" w:hAnsi="Times New Roman" w:eastAsia="仿宋_GB2312"/>
          <w:sz w:val="32"/>
        </w:rPr>
        <w:t>参赛对象应为</w:t>
      </w:r>
      <w:r>
        <w:rPr>
          <w:rFonts w:hint="default" w:ascii="仿宋_GB2312" w:hAnsi="Times New Roman" w:eastAsia="仿宋_GB2312"/>
          <w:sz w:val="32"/>
          <w:lang w:val="en-US"/>
        </w:rPr>
        <w:t>职业院校</w:t>
      </w:r>
      <w:r>
        <w:rPr>
          <w:rFonts w:hint="eastAsia" w:ascii="仿宋_GB2312" w:hAnsi="Times New Roman" w:eastAsia="仿宋_GB2312"/>
          <w:sz w:val="32"/>
          <w:szCs w:val="32"/>
        </w:rPr>
        <w:t>教龄</w:t>
      </w:r>
      <w:r>
        <w:rPr>
          <w:rFonts w:ascii="仿宋_GB2312" w:hAnsi="Times New Roman" w:eastAsia="仿宋_GB2312"/>
          <w:sz w:val="32"/>
          <w:szCs w:val="32"/>
        </w:rPr>
        <w:t>2</w:t>
      </w:r>
      <w:r>
        <w:rPr>
          <w:rFonts w:hint="eastAsia" w:ascii="仿宋_GB2312" w:hAnsi="Times New Roman" w:eastAsia="仿宋_GB2312"/>
          <w:sz w:val="32"/>
          <w:szCs w:val="32"/>
        </w:rPr>
        <w:t>年以上（含）的</w:t>
      </w:r>
      <w:r>
        <w:rPr>
          <w:rFonts w:hint="eastAsia" w:ascii="仿宋_GB2312" w:hAnsi="Times New Roman" w:eastAsia="仿宋_GB2312"/>
          <w:sz w:val="32"/>
        </w:rPr>
        <w:t>在职教师，学校正式聘用的企业兼职教师可按要求参加专业（技能）课程组的比赛。</w:t>
      </w:r>
      <w:bookmarkStart w:id="4" w:name="_Hlk36507360"/>
      <w:bookmarkEnd w:id="4"/>
      <w:r>
        <w:rPr>
          <w:rFonts w:hint="eastAsia" w:ascii="仿宋_GB2312" w:hAnsi="Times New Roman" w:eastAsia="仿宋_GB2312"/>
          <w:sz w:val="32"/>
        </w:rPr>
        <w:t>每个教学团队由实际承担参赛课程或相关课程教学（含实习指导）任务的教师组成，教学团队结构合理，具备高级专业技术职务或取得高级职业技能等级证书的教师不少于</w:t>
      </w:r>
      <w:r>
        <w:rPr>
          <w:rFonts w:ascii="仿宋_GB2312" w:hAnsi="Times New Roman" w:eastAsia="仿宋_GB2312"/>
          <w:sz w:val="32"/>
        </w:rPr>
        <w:t>1</w:t>
      </w:r>
      <w:r>
        <w:rPr>
          <w:rFonts w:hint="eastAsia" w:ascii="仿宋_GB2312" w:hAnsi="Times New Roman" w:eastAsia="仿宋_GB2312"/>
          <w:sz w:val="32"/>
        </w:rPr>
        <w:t>人；专业（技能）课程团队“双师型”教师占比</w:t>
      </w:r>
      <w:r>
        <w:rPr>
          <w:rFonts w:ascii="仿宋_GB2312" w:hAnsi="Times New Roman" w:eastAsia="仿宋_GB2312"/>
          <w:sz w:val="32"/>
        </w:rPr>
        <w:t>50%</w:t>
      </w:r>
      <w:r>
        <w:rPr>
          <w:rFonts w:hint="eastAsia" w:ascii="仿宋_GB2312" w:hAnsi="Times New Roman" w:eastAsia="仿宋_GB2312"/>
          <w:sz w:val="32"/>
        </w:rPr>
        <w:t>以上。</w:t>
      </w:r>
    </w:p>
    <w:p>
      <w:pPr>
        <w:overflowPunct w:val="0"/>
        <w:ind w:firstLine="640" w:firstLineChars="200"/>
        <w:rPr>
          <w:rFonts w:ascii="仿宋_GB2312" w:hAnsi="Times New Roman" w:eastAsia="仿宋_GB2312"/>
          <w:sz w:val="32"/>
        </w:rPr>
      </w:pPr>
      <w:r>
        <w:rPr>
          <w:rFonts w:hint="eastAsia" w:ascii="仿宋_GB2312" w:hAnsi="Times New Roman" w:eastAsia="仿宋_GB2312"/>
          <w:sz w:val="32"/>
          <w:lang w:val="en-US" w:eastAsia="zh-CN"/>
        </w:rPr>
        <w:t>2.</w:t>
      </w:r>
      <w:r>
        <w:rPr>
          <w:rFonts w:hint="eastAsia" w:ascii="仿宋_GB2312" w:hAnsi="Times New Roman" w:eastAsia="仿宋_GB2312"/>
          <w:sz w:val="32"/>
        </w:rPr>
        <w:t>各代表队可在本区域范围内跨校联合组建教学团队参赛，中等职业学校、高等职业院校不得混合组队参赛。除公共基础课程组外，每个教学团队可吸收</w:t>
      </w:r>
      <w:r>
        <w:rPr>
          <w:rFonts w:ascii="仿宋_GB2312" w:hAnsi="Times New Roman" w:eastAsia="仿宋_GB2312"/>
          <w:sz w:val="32"/>
        </w:rPr>
        <w:t>1</w:t>
      </w:r>
      <w:r>
        <w:rPr>
          <w:rFonts w:hint="eastAsia" w:ascii="仿宋_GB2312" w:hAnsi="Times New Roman" w:eastAsia="仿宋_GB2312"/>
          <w:sz w:val="32"/>
        </w:rPr>
        <w:t>名学校聘用的企业兼职教师作为团队成员参赛。</w:t>
      </w:r>
    </w:p>
    <w:p>
      <w:pPr>
        <w:overflowPunct w:val="0"/>
        <w:ind w:firstLine="640" w:firstLineChars="200"/>
        <w:rPr>
          <w:rFonts w:ascii="仿宋_GB2312" w:hAnsi="Times New Roman" w:eastAsia="仿宋_GB2312"/>
          <w:sz w:val="32"/>
        </w:rPr>
      </w:pPr>
      <w:bookmarkStart w:id="5" w:name="_Hlk40568780"/>
      <w:r>
        <w:rPr>
          <w:rFonts w:hint="eastAsia" w:ascii="仿宋_GB2312" w:hAnsi="Times New Roman" w:eastAsia="仿宋_GB2312"/>
          <w:sz w:val="32"/>
          <w:lang w:val="en-US" w:eastAsia="zh-CN"/>
        </w:rPr>
        <w:t>3.</w:t>
      </w:r>
      <w:r>
        <w:rPr>
          <w:rFonts w:hint="eastAsia" w:ascii="仿宋_GB2312" w:hAnsi="Times New Roman" w:eastAsia="仿宋_GB2312"/>
          <w:sz w:val="32"/>
        </w:rPr>
        <w:t>获得近</w:t>
      </w:r>
      <w:r>
        <w:rPr>
          <w:rFonts w:ascii="仿宋_GB2312" w:hAnsi="Times New Roman" w:eastAsia="仿宋_GB2312"/>
          <w:sz w:val="32"/>
        </w:rPr>
        <w:t>2</w:t>
      </w:r>
      <w:r>
        <w:rPr>
          <w:rFonts w:hint="eastAsia" w:ascii="仿宋_GB2312" w:hAnsi="Times New Roman" w:eastAsia="仿宋_GB2312"/>
          <w:sz w:val="32"/>
        </w:rPr>
        <w:t>年全国职业院校技能大赛教学能力比赛一等奖的教学团队全部成员不能报名参赛；获得二等奖的教学团队需要调整成员方能报名参赛（原</w:t>
      </w:r>
      <w:r>
        <w:rPr>
          <w:rFonts w:ascii="仿宋_GB2312" w:hAnsi="Times New Roman" w:eastAsia="仿宋_GB2312"/>
          <w:sz w:val="32"/>
        </w:rPr>
        <w:t>4</w:t>
      </w:r>
      <w:r>
        <w:rPr>
          <w:rFonts w:hint="eastAsia" w:ascii="仿宋_GB2312" w:hAnsi="Times New Roman" w:eastAsia="仿宋_GB2312"/>
          <w:sz w:val="32"/>
        </w:rPr>
        <w:t>人团队至少调整</w:t>
      </w:r>
      <w:r>
        <w:rPr>
          <w:rFonts w:ascii="仿宋_GB2312" w:hAnsi="Times New Roman" w:eastAsia="仿宋_GB2312"/>
          <w:sz w:val="32"/>
        </w:rPr>
        <w:t>2</w:t>
      </w:r>
      <w:r>
        <w:rPr>
          <w:rFonts w:hint="eastAsia" w:ascii="仿宋_GB2312" w:hAnsi="Times New Roman" w:eastAsia="仿宋_GB2312"/>
          <w:sz w:val="32"/>
        </w:rPr>
        <w:t>名成员；原</w:t>
      </w:r>
      <w:r>
        <w:rPr>
          <w:rFonts w:ascii="仿宋_GB2312" w:hAnsi="Times New Roman" w:eastAsia="仿宋_GB2312"/>
          <w:sz w:val="32"/>
        </w:rPr>
        <w:t>3</w:t>
      </w:r>
      <w:r>
        <w:rPr>
          <w:rFonts w:hint="eastAsia" w:ascii="仿宋_GB2312" w:hAnsi="Times New Roman" w:eastAsia="仿宋_GB2312"/>
          <w:sz w:val="32"/>
        </w:rPr>
        <w:t>人团队至少调整</w:t>
      </w:r>
      <w:r>
        <w:rPr>
          <w:rFonts w:ascii="仿宋_GB2312" w:hAnsi="Times New Roman" w:eastAsia="仿宋_GB2312"/>
          <w:sz w:val="32"/>
        </w:rPr>
        <w:t>1</w:t>
      </w:r>
      <w:r>
        <w:rPr>
          <w:rFonts w:hint="eastAsia" w:ascii="仿宋_GB2312" w:hAnsi="Times New Roman" w:eastAsia="仿宋_GB2312"/>
          <w:sz w:val="32"/>
        </w:rPr>
        <w:t>名成员，并可以再新增</w:t>
      </w:r>
      <w:r>
        <w:rPr>
          <w:rFonts w:ascii="仿宋_GB2312" w:hAnsi="Times New Roman" w:eastAsia="仿宋_GB2312"/>
          <w:sz w:val="32"/>
        </w:rPr>
        <w:t>1</w:t>
      </w:r>
      <w:r>
        <w:rPr>
          <w:rFonts w:hint="eastAsia" w:ascii="仿宋_GB2312" w:hAnsi="Times New Roman" w:eastAsia="仿宋_GB2312"/>
          <w:sz w:val="32"/>
        </w:rPr>
        <w:t>名成员；原</w:t>
      </w:r>
      <w:r>
        <w:rPr>
          <w:rFonts w:ascii="仿宋_GB2312" w:hAnsi="Times New Roman" w:eastAsia="仿宋_GB2312"/>
          <w:sz w:val="32"/>
        </w:rPr>
        <w:t>2</w:t>
      </w:r>
      <w:r>
        <w:rPr>
          <w:rFonts w:hint="eastAsia" w:ascii="仿宋_GB2312" w:hAnsi="Times New Roman" w:eastAsia="仿宋_GB2312"/>
          <w:sz w:val="32"/>
        </w:rPr>
        <w:t>人团队可以保留两名成员，但至少新增一名成员）。</w:t>
      </w:r>
    </w:p>
    <w:p>
      <w:pPr>
        <w:overflowPunct w:val="0"/>
        <w:ind w:firstLine="640" w:firstLineChars="200"/>
        <w:rPr>
          <w:rFonts w:ascii="仿宋_GB2312" w:hAnsi="Times New Roman" w:eastAsia="仿宋_GB2312"/>
          <w:sz w:val="32"/>
        </w:rPr>
      </w:pPr>
      <w:r>
        <w:rPr>
          <w:rFonts w:hint="eastAsia" w:ascii="仿宋_GB2312" w:hAnsi="Times New Roman" w:eastAsia="仿宋_GB2312"/>
          <w:sz w:val="32"/>
          <w:lang w:val="en-US" w:eastAsia="zh-CN"/>
        </w:rPr>
        <w:t>4.</w:t>
      </w:r>
      <w:r>
        <w:rPr>
          <w:rFonts w:hint="eastAsia" w:ascii="仿宋_GB2312" w:hAnsi="Times New Roman" w:eastAsia="仿宋_GB2312"/>
          <w:sz w:val="32"/>
        </w:rPr>
        <w:t>鼓励国家级和省级职业教育教师教学创新团队、教学名师、教学成果奖主持人以及具有正高级专业技术职务的优秀教师报名参赛。各代表队中至少有一个参赛教学团队的主要参与成员来自国家级或省级职业教育教师教学创新团队（如有特殊情况可做说明）。</w:t>
      </w:r>
      <w:bookmarkEnd w:id="5"/>
    </w:p>
    <w:p>
      <w:pPr>
        <w:overflowPunct w:val="0"/>
        <w:ind w:firstLine="640" w:firstLineChars="200"/>
        <w:rPr>
          <w:rFonts w:ascii="仿宋_GB2312" w:hAnsi="Times New Roman" w:eastAsia="仿宋_GB2312"/>
          <w:sz w:val="32"/>
        </w:rPr>
      </w:pPr>
      <w:r>
        <w:rPr>
          <w:rFonts w:hint="eastAsia" w:ascii="仿宋_GB2312" w:hAnsi="Times New Roman" w:eastAsia="仿宋_GB2312"/>
          <w:sz w:val="32"/>
          <w:lang w:val="en-US" w:eastAsia="zh-CN"/>
        </w:rPr>
        <w:t>5.</w:t>
      </w:r>
      <w:r>
        <w:rPr>
          <w:rFonts w:hint="eastAsia" w:ascii="仿宋_GB2312" w:hAnsi="Times New Roman" w:eastAsia="仿宋_GB2312"/>
          <w:sz w:val="32"/>
        </w:rPr>
        <w:t>教学团队成员所在学校均须在近</w:t>
      </w:r>
      <w:r>
        <w:rPr>
          <w:rFonts w:ascii="仿宋_GB2312" w:hAnsi="Times New Roman" w:eastAsia="仿宋_GB2312"/>
          <w:sz w:val="32"/>
        </w:rPr>
        <w:t>2</w:t>
      </w:r>
      <w:r>
        <w:rPr>
          <w:rFonts w:hint="eastAsia" w:ascii="仿宋_GB2312" w:hAnsi="Times New Roman" w:eastAsia="仿宋_GB2312"/>
          <w:sz w:val="32"/>
        </w:rPr>
        <w:t>年内实际开设参赛作品教学内容所属的专业（须依规在教育行政部门备案）和课程。</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w:t>
      </w:r>
      <w:r>
        <w:rPr>
          <w:rFonts w:hint="eastAsia" w:ascii="Times New Roman" w:hAnsi="Times New Roman" w:eastAsia="黑体"/>
          <w:sz w:val="32"/>
          <w:lang w:val="en-US" w:eastAsia="zh-CN"/>
        </w:rPr>
        <w:t>三</w:t>
      </w:r>
      <w:r>
        <w:rPr>
          <w:rFonts w:hint="eastAsia" w:ascii="Times New Roman" w:hAnsi="Times New Roman" w:eastAsia="黑体"/>
          <w:sz w:val="32"/>
        </w:rPr>
        <w:t>）比赛分组</w:t>
      </w:r>
    </w:p>
    <w:p>
      <w:pPr>
        <w:overflowPunct w:val="0"/>
        <w:ind w:firstLine="640" w:firstLineChars="200"/>
        <w:outlineLvl w:val="9"/>
        <w:rPr>
          <w:rFonts w:hint="eastAsia" w:ascii="仿宋_GB2312" w:hAnsi="Times New Roman" w:eastAsia="仿宋_GB2312"/>
          <w:sz w:val="32"/>
          <w:szCs w:val="22"/>
        </w:rPr>
      </w:pPr>
      <w:bookmarkStart w:id="6" w:name="_Hlk9764033"/>
      <w:r>
        <w:rPr>
          <w:rFonts w:hint="eastAsia" w:ascii="仿宋_GB2312" w:hAnsi="Times New Roman" w:eastAsia="仿宋_GB2312"/>
          <w:sz w:val="32"/>
          <w:szCs w:val="22"/>
        </w:rPr>
        <w:t>组别设置全面覆盖中等职业学校公共基础课程和所有大类专业课程。</w:t>
      </w:r>
    </w:p>
    <w:p>
      <w:pPr>
        <w:numPr>
          <w:ilvl w:val="-1"/>
          <w:numId w:val="0"/>
        </w:numPr>
        <w:overflowPunct w:val="0"/>
        <w:ind w:firstLine="640" w:firstLineChars="200"/>
        <w:outlineLvl w:val="9"/>
        <w:rPr>
          <w:rFonts w:hint="eastAsia" w:ascii="仿宋_GB2312" w:hAnsi="Times New Roman" w:eastAsia="仿宋_GB2312"/>
          <w:sz w:val="32"/>
          <w:szCs w:val="22"/>
          <w:lang w:val="en-US" w:eastAsia="zh-CN"/>
        </w:rPr>
      </w:pPr>
      <w:r>
        <w:rPr>
          <w:rFonts w:hint="eastAsia" w:ascii="仿宋_GB2312" w:hAnsi="Times New Roman" w:eastAsia="仿宋_GB2312"/>
          <w:sz w:val="32"/>
          <w:szCs w:val="22"/>
          <w:lang w:val="en-US" w:eastAsia="zh-CN"/>
        </w:rPr>
        <w:t>1.</w:t>
      </w:r>
      <w:bookmarkStart w:id="11" w:name="_GoBack"/>
      <w:bookmarkEnd w:id="11"/>
      <w:r>
        <w:rPr>
          <w:rFonts w:hint="eastAsia" w:ascii="仿宋_GB2312" w:hAnsi="Times New Roman" w:eastAsia="仿宋_GB2312"/>
          <w:sz w:val="32"/>
          <w:szCs w:val="22"/>
          <w:lang w:val="en-US" w:eastAsia="zh-CN"/>
        </w:rPr>
        <w:t>思政课程组</w:t>
      </w:r>
    </w:p>
    <w:p>
      <w:pPr>
        <w:numPr>
          <w:ilvl w:val="-1"/>
          <w:numId w:val="0"/>
        </w:numPr>
        <w:overflowPunct w:val="0"/>
        <w:ind w:firstLine="640" w:firstLineChars="200"/>
        <w:outlineLvl w:val="9"/>
        <w:rPr>
          <w:rFonts w:hint="default" w:ascii="仿宋_GB2312" w:hAnsi="Times New Roman" w:eastAsia="仿宋_GB2312"/>
          <w:sz w:val="32"/>
          <w:szCs w:val="22"/>
          <w:lang w:val="en-US" w:eastAsia="zh-CN"/>
        </w:rPr>
      </w:pPr>
      <w:r>
        <w:rPr>
          <w:rFonts w:hint="eastAsia" w:ascii="仿宋_GB2312" w:hAnsi="Times New Roman" w:eastAsia="仿宋_GB2312"/>
          <w:sz w:val="32"/>
          <w:szCs w:val="22"/>
        </w:rPr>
        <w:t>比赛内容为教育部规定开设的</w:t>
      </w:r>
      <w:r>
        <w:rPr>
          <w:rFonts w:hint="eastAsia" w:ascii="仿宋_GB2312" w:hAnsi="Times New Roman" w:eastAsia="仿宋_GB2312"/>
          <w:sz w:val="32"/>
          <w:szCs w:val="22"/>
          <w:lang w:val="en-US" w:eastAsia="zh-CN"/>
        </w:rPr>
        <w:t>思想政治课程</w:t>
      </w:r>
      <w:r>
        <w:rPr>
          <w:rFonts w:hint="eastAsia" w:ascii="仿宋_GB2312" w:hAnsi="Times New Roman" w:eastAsia="仿宋_GB2312"/>
          <w:sz w:val="32"/>
          <w:szCs w:val="22"/>
        </w:rPr>
        <w:t>中（含必修课程、选修课程）不少于12学时连续、完整的教学内容。应依据教育部颁布的课程标准有关要求，进行教学设计与实施，并与国家规划教材有关内容相对应。</w:t>
      </w:r>
    </w:p>
    <w:p>
      <w:pPr>
        <w:overflowPunct w:val="0"/>
        <w:ind w:firstLine="640" w:firstLineChars="200"/>
        <w:outlineLvl w:val="9"/>
        <w:rPr>
          <w:rFonts w:hint="eastAsia" w:ascii="仿宋_GB2312" w:hAnsi="Times New Roman" w:eastAsia="仿宋_GB2312"/>
          <w:sz w:val="32"/>
          <w:szCs w:val="22"/>
          <w:lang w:eastAsia="zh-CN"/>
        </w:rPr>
      </w:pPr>
      <w:r>
        <w:rPr>
          <w:rFonts w:hint="eastAsia" w:ascii="仿宋_GB2312" w:hAnsi="Times New Roman" w:eastAsia="仿宋_GB2312"/>
          <w:sz w:val="32"/>
          <w:szCs w:val="22"/>
          <w:lang w:val="en-US" w:eastAsia="zh-CN"/>
        </w:rPr>
        <w:t>2.</w:t>
      </w:r>
      <w:r>
        <w:rPr>
          <w:rFonts w:hint="eastAsia" w:ascii="仿宋_GB2312" w:hAnsi="Times New Roman" w:eastAsia="仿宋_GB2312"/>
          <w:sz w:val="32"/>
          <w:szCs w:val="22"/>
        </w:rPr>
        <w:t xml:space="preserve">公共基础课程组 </w:t>
      </w:r>
      <w:r>
        <w:rPr>
          <w:rFonts w:hint="eastAsia" w:ascii="仿宋_GB2312" w:hAnsi="Times New Roman" w:eastAsia="仿宋_GB2312"/>
          <w:sz w:val="32"/>
          <w:szCs w:val="22"/>
          <w:lang w:eastAsia="zh-CN"/>
        </w:rPr>
        <w:t>（</w:t>
      </w:r>
      <w:r>
        <w:rPr>
          <w:rFonts w:hint="eastAsia" w:ascii="仿宋_GB2312" w:hAnsi="Times New Roman" w:eastAsia="仿宋_GB2312"/>
          <w:sz w:val="32"/>
          <w:szCs w:val="22"/>
          <w:lang w:val="en-US" w:eastAsia="zh-CN"/>
        </w:rPr>
        <w:t>不含思政课程</w:t>
      </w:r>
      <w:r>
        <w:rPr>
          <w:rFonts w:hint="eastAsia" w:ascii="仿宋_GB2312" w:hAnsi="Times New Roman" w:eastAsia="仿宋_GB2312"/>
          <w:sz w:val="32"/>
          <w:szCs w:val="22"/>
          <w:lang w:eastAsia="zh-CN"/>
        </w:rPr>
        <w:t>）</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 xml:space="preserve">比赛内容为教育部规定开设的公共基础课程中（含必修课程、选修课程）不少于12学时连续、完整的教学内容。应依据教育部颁布的教学大纲（课程标准）有关要求，进行教学设计与实施，并与国家规划教材有关内容相对应。 </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3</w:t>
      </w:r>
      <w:r>
        <w:rPr>
          <w:rFonts w:hint="eastAsia" w:ascii="仿宋_GB2312" w:hAnsi="Times New Roman" w:eastAsia="仿宋_GB2312"/>
          <w:sz w:val="32"/>
          <w:szCs w:val="22"/>
        </w:rPr>
        <w:t>.</w:t>
      </w:r>
      <w:r>
        <w:rPr>
          <w:rFonts w:hint="eastAsia" w:ascii="仿宋_GB2312" w:hAnsi="Times New Roman" w:eastAsia="仿宋_GB2312"/>
          <w:sz w:val="32"/>
        </w:rPr>
        <w:t xml:space="preserve"> </w:t>
      </w:r>
      <w:r>
        <w:rPr>
          <w:rFonts w:hint="eastAsia" w:ascii="仿宋_GB2312" w:hAnsi="Times New Roman" w:eastAsia="仿宋_GB2312"/>
          <w:sz w:val="32"/>
          <w:szCs w:val="22"/>
        </w:rPr>
        <w:t>中职专业技能课程</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比赛内容应依据教育部公布的专业目录、专业教学标准，以及我省已印发的中等职业教育教学指导方案，参赛作品应为专业核心课或专业（技能）方向课中不少于16学时连续、完整的教学内容，包括专业（群）顶岗实习标准中的实习项目工作任务。</w:t>
      </w:r>
    </w:p>
    <w:p>
      <w:pPr>
        <w:overflowPunct w:val="0"/>
        <w:ind w:firstLine="640" w:firstLineChars="200"/>
        <w:rPr>
          <w:rFonts w:hint="eastAsia" w:ascii="仿宋_GB2312" w:hAnsi="Times New Roman" w:eastAsia="仿宋_GB2312"/>
          <w:sz w:val="32"/>
          <w:szCs w:val="22"/>
        </w:rPr>
      </w:pPr>
      <w:r>
        <w:rPr>
          <w:rFonts w:hint="eastAsia" w:ascii="仿宋_GB2312" w:hAnsi="Times New Roman" w:eastAsia="仿宋_GB2312"/>
          <w:sz w:val="32"/>
        </w:rPr>
        <w:t>获得近</w:t>
      </w:r>
      <w:r>
        <w:rPr>
          <w:rFonts w:ascii="仿宋_GB2312" w:hAnsi="Times New Roman" w:eastAsia="仿宋_GB2312"/>
          <w:sz w:val="32"/>
        </w:rPr>
        <w:t>2</w:t>
      </w:r>
      <w:bookmarkStart w:id="7" w:name="_Hlk37411221"/>
      <w:bookmarkEnd w:id="7"/>
      <w:r>
        <w:rPr>
          <w:rFonts w:hint="eastAsia" w:ascii="仿宋_GB2312" w:hAnsi="Times New Roman" w:eastAsia="仿宋_GB2312"/>
          <w:sz w:val="32"/>
        </w:rPr>
        <w:t>年全国职业院校技能大赛教学能力比赛一等奖的作品，其教学团队所有成员的所在学校不能以同一公共基础课程报名参加公共基础课程组或以同一专业报名参加专业（技能）课程组的比赛。</w:t>
      </w:r>
    </w:p>
    <w:bookmarkEnd w:id="6"/>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w:t>
      </w:r>
      <w:r>
        <w:rPr>
          <w:rFonts w:hint="eastAsia" w:ascii="Times New Roman" w:hAnsi="Times New Roman" w:eastAsia="黑体"/>
          <w:sz w:val="32"/>
          <w:lang w:val="en-US" w:eastAsia="zh-CN"/>
        </w:rPr>
        <w:t>四</w:t>
      </w:r>
      <w:r>
        <w:rPr>
          <w:rFonts w:hint="eastAsia" w:ascii="Times New Roman" w:hAnsi="Times New Roman" w:eastAsia="黑体"/>
          <w:sz w:val="32"/>
        </w:rPr>
        <w:t>）参赛作品及材料</w:t>
      </w:r>
    </w:p>
    <w:p>
      <w:pPr>
        <w:ind w:firstLine="640" w:firstLineChars="200"/>
        <w:rPr>
          <w:rFonts w:ascii="仿宋_GB2312" w:hAnsi="Times New Roman" w:eastAsia="仿宋_GB2312"/>
          <w:sz w:val="32"/>
        </w:rPr>
      </w:pPr>
      <w:r>
        <w:rPr>
          <w:rFonts w:hint="eastAsia" w:ascii="仿宋_GB2312" w:hAnsi="Times New Roman" w:eastAsia="仿宋_GB2312"/>
          <w:sz w:val="32"/>
        </w:rPr>
        <w:t>教学团队选取某门课程在一个学期中符合要求的教学任务作为参赛作品，完成教学设计，实施课堂教学。教学内容要符合教育部印发的职业教育国家教学标准中的有关要求，</w:t>
      </w:r>
      <w:bookmarkStart w:id="8" w:name="_Hlk37411329"/>
      <w:bookmarkEnd w:id="8"/>
      <w:r>
        <w:rPr>
          <w:rFonts w:hint="eastAsia" w:ascii="仿宋_GB2312" w:hAnsi="Times New Roman" w:eastAsia="仿宋_GB2312"/>
          <w:sz w:val="32"/>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Pr>
          <w:rFonts w:ascii="仿宋_GB2312" w:hAnsi="Times New Roman" w:eastAsia="仿宋_GB2312"/>
          <w:sz w:val="32"/>
        </w:rPr>
        <w:t>1+X</w:t>
      </w:r>
      <w:r>
        <w:rPr>
          <w:rFonts w:hint="eastAsia" w:ascii="仿宋_GB2312" w:hAnsi="Times New Roman" w:eastAsia="仿宋_GB2312"/>
          <w:sz w:val="32"/>
        </w:rPr>
        <w:t>证书制度试点、</w:t>
      </w:r>
      <w:bookmarkStart w:id="9" w:name="_Hlk37411346"/>
      <w:r>
        <w:rPr>
          <w:rFonts w:hint="eastAsia" w:ascii="仿宋_GB2312" w:hAnsi="Times New Roman" w:eastAsia="仿宋_GB2312"/>
          <w:sz w:val="32"/>
        </w:rPr>
        <w:t>针对高职扩招生源特点创新教学模式、实施线上线下混合式</w:t>
      </w:r>
      <w:bookmarkEnd w:id="9"/>
      <w:r>
        <w:rPr>
          <w:rFonts w:hint="eastAsia" w:ascii="仿宋_GB2312" w:hAnsi="Times New Roman" w:eastAsia="仿宋_GB2312"/>
          <w:sz w:val="32"/>
        </w:rPr>
        <w:t>教学且效果好的作品参赛。</w:t>
      </w:r>
    </w:p>
    <w:p>
      <w:pPr>
        <w:overflowPunct w:val="0"/>
        <w:ind w:firstLine="640" w:firstLineChars="200"/>
        <w:rPr>
          <w:rFonts w:hint="eastAsia" w:ascii="仿宋_GB2312" w:hAnsi="Times New Roman" w:eastAsia="仿宋_GB2312"/>
          <w:sz w:val="32"/>
        </w:rPr>
      </w:pPr>
      <w:bookmarkStart w:id="10" w:name="_Hlk36506130"/>
      <w:r>
        <w:rPr>
          <w:rFonts w:hint="eastAsia" w:ascii="仿宋_GB2312" w:hAnsi="Times New Roman" w:eastAsia="仿宋_GB2312"/>
          <w:sz w:val="32"/>
        </w:rPr>
        <w:t>参赛作品材料包括实际使用的教案、</w:t>
      </w:r>
      <w:r>
        <w:rPr>
          <w:rFonts w:ascii="仿宋_GB2312" w:hAnsi="Times New Roman" w:eastAsia="仿宋_GB2312"/>
          <w:sz w:val="32"/>
        </w:rPr>
        <w:t>3</w:t>
      </w:r>
      <w:r>
        <w:rPr>
          <w:rFonts w:hint="eastAsia" w:ascii="仿宋_GB2312" w:hAnsi="Times New Roman" w:eastAsia="仿宋_GB2312"/>
          <w:sz w:val="32"/>
        </w:rPr>
        <w:t>—</w:t>
      </w:r>
      <w:r>
        <w:rPr>
          <w:rFonts w:ascii="仿宋_GB2312" w:hAnsi="Times New Roman" w:eastAsia="仿宋_GB2312"/>
          <w:sz w:val="32"/>
        </w:rPr>
        <w:t>4</w:t>
      </w:r>
      <w:bookmarkEnd w:id="10"/>
      <w:r>
        <w:rPr>
          <w:rFonts w:hint="eastAsia" w:ascii="仿宋_GB2312" w:hAnsi="Times New Roman" w:eastAsia="仿宋_GB2312"/>
          <w:sz w:val="32"/>
        </w:rPr>
        <w:t>段课堂实录视频、教学实施报告，另附参赛作品所依据的实际使用的专业人才培养方案和课程标准（有关要求详见附</w:t>
      </w:r>
      <w:r>
        <w:rPr>
          <w:rFonts w:hint="eastAsia" w:ascii="仿宋_GB2312" w:hAnsi="Times New Roman" w:eastAsia="仿宋_GB2312"/>
          <w:sz w:val="32"/>
          <w:lang w:val="en-US" w:eastAsia="zh-CN"/>
        </w:rPr>
        <w:t>3</w:t>
      </w:r>
      <w:r>
        <w:rPr>
          <w:rFonts w:hint="eastAsia" w:ascii="仿宋_GB2312" w:hAnsi="Times New Roman" w:eastAsia="仿宋_GB2312"/>
          <w:sz w:val="32"/>
        </w:rPr>
        <w:t>）。</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四、班主业务能力赛项比赛方案</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（一）比赛要求</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重点考察中等职业学校班主任针对所带班级，深入开展班级情况分析，科学合理确定班级建设目标，围绕学生思想工作、班级管理工作、组织班级活动、职业指导工作、沟通协调工作等方面，周密制订班级建设方案，扎实推进建班育人，妥善应对突发事件，并根据学生成长情况及时总结改进的能力。</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1.深入分析班级情况</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全面了解目前所带班级每一名学生入学时的家庭情况、身心健康状况、个性特点、学业基础、爱好特长、发展诉求等，并密切关注其变化情况，结合所学专业，深入分析建班育人实践中需要重点关注的工作领域、学生个体，以及可能面临的困难和需要重点解决的问题。</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2.制订班级建设方案</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坚持依法治教，学习贯彻实施新修订的教育法，全面贯彻落实党的教育方针。根据《新时代爱国主义教育实施纲要》《新时代公民道德建设纲要》《中国学生发展核心素养》《深化新时代教育评价改革总体方案》《大中小学劳动教育指导纲要（试行）》《中等职业学校德育大纲（2014年修订）》《中等职业学校职业指导工作规定》《教育部办公厅关于加强和改进新时代中等职业学校德育工作的意见》等，以及职业教育国家教学标准、学校专业人才培养方案和行业企业人才需求实际，科学合理确定班级建设目标和建设内容。结合中职学生思想、行为特点和班级实际，遵循教育教学规律、思想政治工作规律和技术技能人才成长规律，注重发挥学生主体作用，坚持班级整体建设与学生个体培养有机统一，统筹规划所带班级整个中职阶段的各项工作。</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落实“三全育人”工作要求，调动各方协同育人，整合运用有关资源，形成育人合力。</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3.扎实推进建班育人</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1）学生思想工作。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密切跟踪社会舆论热点，及时研判可能对学生思想状况造成的影响，第一时间加以正确引导。注重运用新媒体、新技术，拓展网络育人阵地，利用网络唱响主旋律、传播正能量。</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2）班级管理工作。组建班委会、团支部，健全班级制度，组织学生学习签署践行《中等职业学校学生公约》，树立优良班风学风，鼓励学生参与规章制度制订、环境布置等班级文化建设，教育引导学生自觉养成良好的思想品质和行为习惯，维护教育教学秩序和生活秩序。按照《中小学教育惩戒规则（试行）》等规范实施班级管理。落实《深化新时代教育评价改革总体方案》“完善德育评价”有关要求，客观、公正做好学生综合素质评价，及时对学生进行鼓励和指导。加强安全教育、法治教育、卫生健康教育和心理健康教育指导，维护班级和学生安全。</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3）组织班级活动。指导班委会、团支部开展工作，根据人才培养目标、德育工作要求和班级特点，开展覆盖全体学生、形式多样，时代性、趣味性、针对性和实效性强的主题班会、主题团日等班级活动。鼓励引导学生积极参与“文明风采”活动、“少年工匠心向党 青春奋进新时代”主题教育活动等，在校期间至少加入一个学生社团、发展一项兴趣爱好、参加一次竞赛竞技、参与一项志愿服务、展示一项才艺特长。</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4）职业指导工作。了解班级所属专业的人才培养方案，熟悉培养目标、专业特点和学业要求，有针对性地帮助学生认识自我，了解社会，了解专业和职业，传承奋斗精神，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5）沟通协调工作。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联络，共同做好学生顶岗实习期间的教育和管理工作。</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6）及时总结改进。建立健全班级管理和学生成长档案，做好育人全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4.妥善应对突发事件</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能力。能够第一时间对突发事件进行初步处理，妥善做好应对，及时了解、掌握有关信息并按程序上报。事后做好总结研究分析，完善班级应急工作预案，向学校提出合理化建议。</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（二）参赛对象</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参赛选手为中等职业学校班主任个人，</w:t>
      </w:r>
      <w:r>
        <w:rPr>
          <w:rFonts w:hint="eastAsia" w:ascii="仿宋_GB2312" w:hAnsi="Times New Roman" w:eastAsia="仿宋_GB2312"/>
          <w:sz w:val="32"/>
          <w:szCs w:val="22"/>
          <w:lang w:val="en-US"/>
        </w:rPr>
        <w:t>202</w:t>
      </w:r>
      <w:r>
        <w:rPr>
          <w:rFonts w:hint="eastAsia" w:ascii="仿宋_GB2312" w:hAnsi="Times New Roman" w:eastAsia="仿宋_GB2312"/>
          <w:sz w:val="32"/>
          <w:szCs w:val="22"/>
          <w:lang w:val="en-US" w:eastAsia="zh-CN"/>
        </w:rPr>
        <w:t>1</w:t>
      </w:r>
      <w:r>
        <w:rPr>
          <w:rFonts w:hint="eastAsia" w:ascii="仿宋_GB2312" w:hAnsi="Times New Roman" w:eastAsia="仿宋_GB2312"/>
          <w:sz w:val="32"/>
          <w:szCs w:val="22"/>
          <w:lang w:val="en-US"/>
        </w:rPr>
        <w:t>—202</w:t>
      </w:r>
      <w:r>
        <w:rPr>
          <w:rFonts w:hint="eastAsia" w:ascii="仿宋_GB2312" w:hAnsi="Times New Roman" w:eastAsia="仿宋_GB2312"/>
          <w:sz w:val="32"/>
          <w:szCs w:val="22"/>
          <w:lang w:val="en-US" w:eastAsia="zh-CN"/>
        </w:rPr>
        <w:t>2</w:t>
      </w:r>
      <w:r>
        <w:rPr>
          <w:rFonts w:hint="eastAsia" w:ascii="仿宋_GB2312" w:hAnsi="Times New Roman" w:eastAsia="仿宋_GB2312"/>
          <w:sz w:val="32"/>
          <w:szCs w:val="22"/>
        </w:rPr>
        <w:t>学年担任中职或五年制高职前三年级的班主任并实际带班，累计担任中职班主任</w:t>
      </w:r>
      <w:r>
        <w:rPr>
          <w:rFonts w:hint="eastAsia" w:ascii="仿宋_GB2312" w:hAnsi="Times New Roman" w:eastAsia="仿宋_GB2312"/>
          <w:sz w:val="32"/>
          <w:szCs w:val="22"/>
          <w:lang w:val="en-US"/>
        </w:rPr>
        <w:t>3</w:t>
      </w:r>
      <w:r>
        <w:rPr>
          <w:rFonts w:hint="eastAsia" w:ascii="仿宋_GB2312" w:hAnsi="Times New Roman" w:eastAsia="仿宋_GB2312"/>
          <w:sz w:val="32"/>
          <w:szCs w:val="22"/>
        </w:rPr>
        <w:t>学年以上（不含</w:t>
      </w:r>
      <w:r>
        <w:rPr>
          <w:rFonts w:hint="eastAsia" w:ascii="仿宋_GB2312" w:hAnsi="Times New Roman" w:eastAsia="仿宋_GB2312"/>
          <w:sz w:val="32"/>
          <w:szCs w:val="22"/>
          <w:lang w:val="en-US"/>
        </w:rPr>
        <w:t>3</w:t>
      </w:r>
      <w:r>
        <w:rPr>
          <w:rFonts w:hint="eastAsia" w:ascii="仿宋_GB2312" w:hAnsi="Times New Roman" w:eastAsia="仿宋_GB2312"/>
          <w:sz w:val="32"/>
          <w:szCs w:val="22"/>
        </w:rPr>
        <w:t>学年）。鼓励国家级、省级德育名师和名班主任、教学成果奖主持人以及具有高级专业技术职务的教师等报名参赛。</w:t>
      </w:r>
      <w:r>
        <w:rPr>
          <w:rFonts w:hint="eastAsia" w:ascii="仿宋_GB2312" w:hAnsi="Times New Roman" w:eastAsia="仿宋_GB2312"/>
          <w:sz w:val="32"/>
          <w:szCs w:val="22"/>
          <w:lang w:val="en-US"/>
        </w:rPr>
        <w:t>202</w:t>
      </w:r>
      <w:r>
        <w:rPr>
          <w:rFonts w:hint="eastAsia" w:ascii="仿宋_GB2312" w:hAnsi="Times New Roman" w:eastAsia="仿宋_GB2312"/>
          <w:sz w:val="32"/>
          <w:szCs w:val="22"/>
          <w:lang w:val="en-US" w:eastAsia="zh-CN"/>
        </w:rPr>
        <w:t>1</w:t>
      </w:r>
      <w:r>
        <w:rPr>
          <w:rFonts w:hint="eastAsia" w:ascii="仿宋_GB2312" w:hAnsi="Times New Roman" w:eastAsia="仿宋_GB2312"/>
          <w:sz w:val="32"/>
          <w:szCs w:val="22"/>
        </w:rPr>
        <w:t>年全国职业院校技能大赛中等职业学校班主任能力比赛一、二等奖获得者不参加</w:t>
      </w:r>
      <w:r>
        <w:rPr>
          <w:rFonts w:hint="eastAsia" w:ascii="仿宋_GB2312" w:hAnsi="Times New Roman" w:eastAsia="仿宋_GB2312"/>
          <w:sz w:val="32"/>
          <w:szCs w:val="22"/>
          <w:lang w:val="en-US"/>
        </w:rPr>
        <w:t>202</w:t>
      </w:r>
      <w:r>
        <w:rPr>
          <w:rFonts w:hint="eastAsia" w:ascii="仿宋_GB2312" w:hAnsi="Times New Roman" w:eastAsia="仿宋_GB2312"/>
          <w:sz w:val="32"/>
          <w:szCs w:val="22"/>
          <w:lang w:val="en-US" w:eastAsia="zh-CN"/>
        </w:rPr>
        <w:t>2</w:t>
      </w:r>
      <w:r>
        <w:rPr>
          <w:rFonts w:hint="eastAsia" w:ascii="仿宋_GB2312" w:hAnsi="Times New Roman" w:eastAsia="仿宋_GB2312"/>
          <w:sz w:val="32"/>
          <w:szCs w:val="22"/>
        </w:rPr>
        <w:t>年比赛。</w:t>
      </w:r>
    </w:p>
    <w:p>
      <w:pPr>
        <w:overflowPunct w:val="0"/>
        <w:ind w:firstLine="640" w:firstLineChars="200"/>
        <w:outlineLvl w:val="0"/>
        <w:rPr>
          <w:rFonts w:ascii="Times New Roman" w:hAnsi="Times New Roman" w:eastAsia="黑体"/>
          <w:color w:val="auto"/>
          <w:sz w:val="32"/>
        </w:rPr>
      </w:pPr>
      <w:r>
        <w:rPr>
          <w:rFonts w:hint="eastAsia" w:ascii="Times New Roman" w:hAnsi="Times New Roman" w:eastAsia="黑体"/>
          <w:color w:val="auto"/>
          <w:sz w:val="32"/>
        </w:rPr>
        <w:t>五、比赛办法</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根据报名情况分为若干评审组。各评审组均采取先网络初评后决赛的方式进行。网络初评时，评审参赛作品材料，按成绩排序，确定参加第二轮决赛比赛的名单</w:t>
      </w:r>
      <w:r>
        <w:rPr>
          <w:rFonts w:hint="eastAsia" w:ascii="仿宋_GB2312" w:hAnsi="Times New Roman" w:eastAsia="仿宋_GB2312"/>
          <w:sz w:val="32"/>
          <w:szCs w:val="22"/>
          <w:lang w:eastAsia="zh-CN"/>
        </w:rPr>
        <w:t>，初定拟获得三等奖的</w:t>
      </w:r>
      <w:r>
        <w:rPr>
          <w:rFonts w:hint="eastAsia" w:ascii="仿宋_GB2312" w:hAnsi="Times New Roman" w:eastAsia="仿宋_GB2312"/>
          <w:sz w:val="32"/>
          <w:szCs w:val="22"/>
          <w:lang w:val="en-US" w:eastAsia="zh-CN"/>
        </w:rPr>
        <w:t>名单</w:t>
      </w:r>
      <w:r>
        <w:rPr>
          <w:rFonts w:hint="eastAsia" w:ascii="仿宋_GB2312" w:hAnsi="Times New Roman" w:eastAsia="仿宋_GB2312"/>
          <w:sz w:val="32"/>
          <w:szCs w:val="22"/>
        </w:rPr>
        <w:t>。</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决赛方法另行通知。</w:t>
      </w:r>
    </w:p>
    <w:p>
      <w:pPr>
        <w:overflowPunct w:val="0"/>
        <w:ind w:firstLine="640" w:firstLineChars="200"/>
        <w:outlineLvl w:val="0"/>
        <w:rPr>
          <w:rFonts w:ascii="Times New Roman" w:hAnsi="Times New Roman" w:eastAsia="黑体"/>
          <w:color w:val="auto"/>
          <w:sz w:val="32"/>
        </w:rPr>
      </w:pPr>
      <w:r>
        <w:rPr>
          <w:rFonts w:hint="eastAsia" w:ascii="Times New Roman" w:hAnsi="Times New Roman" w:eastAsia="黑体"/>
          <w:color w:val="auto"/>
          <w:sz w:val="32"/>
        </w:rPr>
        <w:t>六、报名要求</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1.以市为单位组成代表队参加比赛（省直管县列入所在市代表队）。</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2.教学团队成员所在学校均须开设参赛作品教学内容所属的专业（须在教育部备案）和课程，成员须实际承担有关教学或教研任务。以虚假内容（身份）参赛的，一经核实，取消其参赛资格以及所在代表队团体奖评奖资格，并通报全省职业院校技能大赛组织委员会，责成市级教育行政部门依据有关规定处理。</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3</w:t>
      </w:r>
      <w:r>
        <w:rPr>
          <w:rFonts w:hint="eastAsia" w:ascii="仿宋_GB2312" w:hAnsi="Times New Roman" w:eastAsia="仿宋_GB2312"/>
          <w:sz w:val="32"/>
          <w:szCs w:val="22"/>
        </w:rPr>
        <w:t>.参赛作品应为原创，引用应注明出处。如引起知识产权异议和纠纷，责任由教学团队承担。经同意，比赛组委会统一组织对参赛作品做公益性共享。</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lang w:val="en-US" w:eastAsia="zh-CN"/>
        </w:rPr>
        <w:t>4</w:t>
      </w:r>
      <w:r>
        <w:rPr>
          <w:rFonts w:hint="eastAsia" w:ascii="仿宋_GB2312" w:hAnsi="Times New Roman" w:eastAsia="仿宋_GB2312"/>
          <w:sz w:val="32"/>
          <w:szCs w:val="22"/>
        </w:rPr>
        <w:t>.除《参赛报名表》《参赛汇总表》之外，所有参赛作品材料及其文件名（属性）、现场展示和答辩时使用的所有材料和画面等，均不得出现市、学校的任何信息。故意透露相关信息的，取消其参赛资格。</w:t>
      </w:r>
    </w:p>
    <w:p>
      <w:pPr>
        <w:overflowPunct w:val="0"/>
        <w:ind w:firstLine="640" w:firstLineChars="200"/>
        <w:outlineLvl w:val="0"/>
        <w:rPr>
          <w:rFonts w:ascii="Times New Roman" w:hAnsi="Times New Roman" w:eastAsia="黑体"/>
          <w:color w:val="auto"/>
          <w:sz w:val="32"/>
        </w:rPr>
      </w:pPr>
      <w:r>
        <w:rPr>
          <w:rFonts w:hint="eastAsia" w:ascii="Times New Roman" w:hAnsi="Times New Roman" w:eastAsia="黑体"/>
          <w:color w:val="auto"/>
          <w:sz w:val="32"/>
        </w:rPr>
        <w:t>七、其他</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1.教学团队可选用比赛组委会免费提供的国家职业教育专业教学资源库、国家级精品资源共享课、职业学校企业生产实际教学案例库等相关教学资源进行教学设计和实际教学，相关资源可从比赛教学资源支持平台（智慧职教www.icve.com.cn、爱课程网www.icourses.cn）获取，或登录比赛官方网站有关链接。</w:t>
      </w:r>
    </w:p>
    <w:p>
      <w:pPr>
        <w:overflowPunct w:val="0"/>
        <w:ind w:firstLine="640" w:firstLineChars="200"/>
        <w:outlineLvl w:val="9"/>
        <w:rPr>
          <w:rFonts w:hint="eastAsia" w:ascii="仿宋_GB2312" w:hAnsi="Times New Roman" w:eastAsia="仿宋_GB2312"/>
          <w:sz w:val="32"/>
          <w:szCs w:val="22"/>
        </w:rPr>
      </w:pPr>
      <w:r>
        <w:rPr>
          <w:rFonts w:hint="eastAsia" w:ascii="仿宋_GB2312" w:hAnsi="Times New Roman" w:eastAsia="仿宋_GB2312"/>
          <w:sz w:val="32"/>
          <w:szCs w:val="22"/>
        </w:rPr>
        <w:t>2.202</w:t>
      </w:r>
      <w:r>
        <w:rPr>
          <w:rFonts w:hint="eastAsia" w:ascii="仿宋_GB2312" w:hAnsi="Times New Roman" w:eastAsia="仿宋_GB2312"/>
          <w:sz w:val="32"/>
          <w:szCs w:val="22"/>
          <w:lang w:val="en-US" w:eastAsia="zh-CN"/>
        </w:rPr>
        <w:t>2</w:t>
      </w:r>
      <w:r>
        <w:rPr>
          <w:rFonts w:hint="eastAsia" w:ascii="仿宋_GB2312" w:hAnsi="Times New Roman" w:eastAsia="仿宋_GB2312"/>
          <w:sz w:val="32"/>
          <w:szCs w:val="22"/>
        </w:rPr>
        <w:t>年全省比赛的有关信息将及时在安徽省教育厅官网和安徽</w:t>
      </w:r>
      <w:r>
        <w:rPr>
          <w:rFonts w:hint="eastAsia" w:ascii="仿宋_GB2312" w:hAnsi="Times New Roman" w:eastAsia="仿宋_GB2312"/>
          <w:sz w:val="32"/>
          <w:szCs w:val="22"/>
          <w:lang w:val="en-US" w:eastAsia="zh-CN"/>
        </w:rPr>
        <w:t>省教育厅</w:t>
      </w:r>
      <w:r>
        <w:rPr>
          <w:rFonts w:hint="eastAsia" w:ascii="仿宋_GB2312" w:hAnsi="Times New Roman" w:eastAsia="仿宋_GB2312"/>
          <w:sz w:val="32"/>
          <w:szCs w:val="22"/>
        </w:rPr>
        <w:t>职</w:t>
      </w:r>
      <w:r>
        <w:rPr>
          <w:rFonts w:hint="eastAsia" w:ascii="仿宋_GB2312" w:hAnsi="Times New Roman" w:eastAsia="仿宋_GB2312"/>
          <w:sz w:val="32"/>
          <w:szCs w:val="22"/>
          <w:lang w:val="en-US" w:eastAsia="zh-CN"/>
        </w:rPr>
        <w:t>业</w:t>
      </w:r>
      <w:r>
        <w:rPr>
          <w:rFonts w:hint="eastAsia" w:ascii="仿宋_GB2312" w:hAnsi="Times New Roman" w:eastAsia="仿宋_GB2312"/>
          <w:sz w:val="32"/>
          <w:szCs w:val="22"/>
        </w:rPr>
        <w:t>与成人教育处官网公布。</w:t>
      </w:r>
    </w:p>
    <w:p>
      <w:pPr>
        <w:overflowPunct w:val="0"/>
        <w:ind w:firstLine="640" w:firstLineChars="200"/>
        <w:rPr>
          <w:rFonts w:ascii="方正仿宋_GBK" w:hAnsi="仿宋" w:eastAsia="方正仿宋_GBK"/>
          <w:color w:val="auto"/>
          <w:sz w:val="32"/>
          <w:szCs w:val="32"/>
        </w:rPr>
      </w:pPr>
    </w:p>
    <w:p>
      <w:pPr>
        <w:overflowPunct w:val="0"/>
        <w:rPr>
          <w:rFonts w:ascii="方正仿宋_GBK" w:hAnsi="仿宋" w:eastAsia="方正仿宋_GBK"/>
          <w:color w:val="000000"/>
          <w:sz w:val="32"/>
          <w:szCs w:val="32"/>
        </w:rPr>
      </w:pPr>
    </w:p>
    <w:sectPr>
      <w:footerReference r:id="rId5" w:type="first"/>
      <w:footerReference r:id="rId3" w:type="default"/>
      <w:footerReference r:id="rId4" w:type="even"/>
      <w:pgSz w:w="11906" w:h="16838"/>
      <w:pgMar w:top="2041" w:right="1531" w:bottom="2041" w:left="1531"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方正仿宋_GBK" w:eastAsia="方正仿宋_GBK"/>
        <w:sz w:val="28"/>
        <w:szCs w:val="28"/>
      </w:rPr>
    </w:pPr>
    <w:r>
      <w:rPr>
        <w:rStyle w:val="13"/>
        <w:rFonts w:ascii="方正仿宋_GBK" w:eastAsia="方正仿宋_GBK"/>
        <w:sz w:val="28"/>
        <w:szCs w:val="28"/>
      </w:rPr>
      <w:fldChar w:fldCharType="begin"/>
    </w:r>
    <w:r>
      <w:rPr>
        <w:rStyle w:val="13"/>
        <w:rFonts w:ascii="方正仿宋_GBK" w:eastAsia="方正仿宋_GBK"/>
        <w:sz w:val="28"/>
        <w:szCs w:val="28"/>
      </w:rPr>
      <w:instrText xml:space="preserve">PAGE  </w:instrText>
    </w:r>
    <w:r>
      <w:rPr>
        <w:rStyle w:val="13"/>
        <w:rFonts w:ascii="方正仿宋_GBK" w:eastAsia="方正仿宋_GBK"/>
        <w:sz w:val="28"/>
        <w:szCs w:val="28"/>
      </w:rPr>
      <w:fldChar w:fldCharType="separate"/>
    </w:r>
    <w:r>
      <w:rPr>
        <w:rStyle w:val="13"/>
        <w:rFonts w:ascii="方正仿宋_GBK" w:eastAsia="方正仿宋_GBK"/>
        <w:sz w:val="28"/>
        <w:szCs w:val="28"/>
      </w:rPr>
      <w:t>- 10 -</w:t>
    </w:r>
    <w:r>
      <w:rPr>
        <w:rStyle w:val="13"/>
        <w:rFonts w:ascii="方正仿宋_GBK" w:eastAsia="方正仿宋_GBK"/>
        <w:sz w:val="28"/>
        <w:szCs w:val="28"/>
      </w:rPr>
      <w:fldChar w:fldCharType="end"/>
    </w:r>
  </w:p>
  <w:p>
    <w:pPr>
      <w:pStyle w:val="6"/>
      <w:ind w:right="360" w:firstLine="360"/>
      <w:jc w:val="center"/>
      <w:rPr>
        <w:rFonts w:ascii="Times New Roman" w:hAnsi="Times New Roman"/>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t>1</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EA145"/>
    <w:multiLevelType w:val="singleLevel"/>
    <w:tmpl w:val="89CEA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NotTrackMoves/>
  <w:trackRevisions w:val="tru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D8"/>
    <w:rsid w:val="000026E7"/>
    <w:rsid w:val="000053A3"/>
    <w:rsid w:val="0002487D"/>
    <w:rsid w:val="000731FC"/>
    <w:rsid w:val="00077600"/>
    <w:rsid w:val="000910F0"/>
    <w:rsid w:val="000B71A4"/>
    <w:rsid w:val="000E0B14"/>
    <w:rsid w:val="00124554"/>
    <w:rsid w:val="00150D48"/>
    <w:rsid w:val="00152C82"/>
    <w:rsid w:val="00156F71"/>
    <w:rsid w:val="00173C9C"/>
    <w:rsid w:val="001809CA"/>
    <w:rsid w:val="001B3888"/>
    <w:rsid w:val="001D7861"/>
    <w:rsid w:val="001F0DF2"/>
    <w:rsid w:val="001F3E8E"/>
    <w:rsid w:val="00211CF8"/>
    <w:rsid w:val="00212EBE"/>
    <w:rsid w:val="00226150"/>
    <w:rsid w:val="00231A8F"/>
    <w:rsid w:val="00232AE1"/>
    <w:rsid w:val="00246E27"/>
    <w:rsid w:val="0024746A"/>
    <w:rsid w:val="00251B17"/>
    <w:rsid w:val="0027034D"/>
    <w:rsid w:val="00282944"/>
    <w:rsid w:val="0028405D"/>
    <w:rsid w:val="00290BDA"/>
    <w:rsid w:val="00294A67"/>
    <w:rsid w:val="002B1CFC"/>
    <w:rsid w:val="002C21CE"/>
    <w:rsid w:val="002C3FA2"/>
    <w:rsid w:val="002D56FB"/>
    <w:rsid w:val="002D72CE"/>
    <w:rsid w:val="002E3BF3"/>
    <w:rsid w:val="002E48C4"/>
    <w:rsid w:val="003072E5"/>
    <w:rsid w:val="003247D9"/>
    <w:rsid w:val="00337D36"/>
    <w:rsid w:val="0034187D"/>
    <w:rsid w:val="00352C1F"/>
    <w:rsid w:val="00355F42"/>
    <w:rsid w:val="00361036"/>
    <w:rsid w:val="00361A70"/>
    <w:rsid w:val="003627B1"/>
    <w:rsid w:val="00365ED7"/>
    <w:rsid w:val="00366E3A"/>
    <w:rsid w:val="003855E5"/>
    <w:rsid w:val="003D20AC"/>
    <w:rsid w:val="003E371B"/>
    <w:rsid w:val="003F6121"/>
    <w:rsid w:val="00422E80"/>
    <w:rsid w:val="00433BF8"/>
    <w:rsid w:val="004377AB"/>
    <w:rsid w:val="0044207B"/>
    <w:rsid w:val="00466024"/>
    <w:rsid w:val="0047420E"/>
    <w:rsid w:val="00487593"/>
    <w:rsid w:val="004B52BB"/>
    <w:rsid w:val="004C0E9E"/>
    <w:rsid w:val="004C15B5"/>
    <w:rsid w:val="004C6725"/>
    <w:rsid w:val="004E2132"/>
    <w:rsid w:val="00567169"/>
    <w:rsid w:val="00574A80"/>
    <w:rsid w:val="005921E2"/>
    <w:rsid w:val="005B6D25"/>
    <w:rsid w:val="005F06FC"/>
    <w:rsid w:val="00600E9C"/>
    <w:rsid w:val="0061068C"/>
    <w:rsid w:val="00612164"/>
    <w:rsid w:val="006368FD"/>
    <w:rsid w:val="00644DD2"/>
    <w:rsid w:val="00645404"/>
    <w:rsid w:val="006472F8"/>
    <w:rsid w:val="0065744B"/>
    <w:rsid w:val="006B4BB6"/>
    <w:rsid w:val="006C62EE"/>
    <w:rsid w:val="006D7D87"/>
    <w:rsid w:val="006E3C3B"/>
    <w:rsid w:val="00701E19"/>
    <w:rsid w:val="007403F7"/>
    <w:rsid w:val="007432C2"/>
    <w:rsid w:val="0074604D"/>
    <w:rsid w:val="0075545B"/>
    <w:rsid w:val="0076372E"/>
    <w:rsid w:val="007A1A99"/>
    <w:rsid w:val="007B706C"/>
    <w:rsid w:val="007C32CC"/>
    <w:rsid w:val="007E582F"/>
    <w:rsid w:val="007F1ECF"/>
    <w:rsid w:val="0080065E"/>
    <w:rsid w:val="00820517"/>
    <w:rsid w:val="00842D8A"/>
    <w:rsid w:val="0086224B"/>
    <w:rsid w:val="00864F1D"/>
    <w:rsid w:val="00884A75"/>
    <w:rsid w:val="008A335B"/>
    <w:rsid w:val="008B650F"/>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2E0"/>
    <w:rsid w:val="00A15625"/>
    <w:rsid w:val="00A16063"/>
    <w:rsid w:val="00A20A0D"/>
    <w:rsid w:val="00A27451"/>
    <w:rsid w:val="00A27C84"/>
    <w:rsid w:val="00A31AA8"/>
    <w:rsid w:val="00A365B0"/>
    <w:rsid w:val="00A407C8"/>
    <w:rsid w:val="00A607C6"/>
    <w:rsid w:val="00A64FB6"/>
    <w:rsid w:val="00A84412"/>
    <w:rsid w:val="00A93862"/>
    <w:rsid w:val="00A96148"/>
    <w:rsid w:val="00AC2AE2"/>
    <w:rsid w:val="00AC60C9"/>
    <w:rsid w:val="00AD2505"/>
    <w:rsid w:val="00AD2933"/>
    <w:rsid w:val="00AD2ED2"/>
    <w:rsid w:val="00AD5162"/>
    <w:rsid w:val="00AF5BD8"/>
    <w:rsid w:val="00B04E0D"/>
    <w:rsid w:val="00B057BC"/>
    <w:rsid w:val="00B17503"/>
    <w:rsid w:val="00B1777E"/>
    <w:rsid w:val="00B3280A"/>
    <w:rsid w:val="00B45299"/>
    <w:rsid w:val="00B5638F"/>
    <w:rsid w:val="00B660B0"/>
    <w:rsid w:val="00BC0E6D"/>
    <w:rsid w:val="00BC3C04"/>
    <w:rsid w:val="00BD5704"/>
    <w:rsid w:val="00BD6563"/>
    <w:rsid w:val="00BD674A"/>
    <w:rsid w:val="00BE0CA5"/>
    <w:rsid w:val="00C146CA"/>
    <w:rsid w:val="00C15771"/>
    <w:rsid w:val="00C20659"/>
    <w:rsid w:val="00C2313B"/>
    <w:rsid w:val="00C33AE3"/>
    <w:rsid w:val="00C354AC"/>
    <w:rsid w:val="00C4068F"/>
    <w:rsid w:val="00C46994"/>
    <w:rsid w:val="00C57A51"/>
    <w:rsid w:val="00C63CBD"/>
    <w:rsid w:val="00CA7AFD"/>
    <w:rsid w:val="00CC209F"/>
    <w:rsid w:val="00CC4A0C"/>
    <w:rsid w:val="00CE5AD5"/>
    <w:rsid w:val="00D269E1"/>
    <w:rsid w:val="00D36806"/>
    <w:rsid w:val="00D8017A"/>
    <w:rsid w:val="00D82214"/>
    <w:rsid w:val="00DB547A"/>
    <w:rsid w:val="00DB583D"/>
    <w:rsid w:val="00DC1A9C"/>
    <w:rsid w:val="00DD095B"/>
    <w:rsid w:val="00E06862"/>
    <w:rsid w:val="00E07A6F"/>
    <w:rsid w:val="00E16B34"/>
    <w:rsid w:val="00E4583A"/>
    <w:rsid w:val="00E605C4"/>
    <w:rsid w:val="00E92E9C"/>
    <w:rsid w:val="00EA0856"/>
    <w:rsid w:val="00EA0B79"/>
    <w:rsid w:val="00EA0ED8"/>
    <w:rsid w:val="00EB707E"/>
    <w:rsid w:val="00ED2A57"/>
    <w:rsid w:val="00ED3F19"/>
    <w:rsid w:val="00F06196"/>
    <w:rsid w:val="00F31A45"/>
    <w:rsid w:val="00F504A4"/>
    <w:rsid w:val="00F61903"/>
    <w:rsid w:val="00FB0CF1"/>
    <w:rsid w:val="00FE7202"/>
    <w:rsid w:val="00FF68B3"/>
    <w:rsid w:val="08F4083C"/>
    <w:rsid w:val="157C5847"/>
    <w:rsid w:val="15FFE7EA"/>
    <w:rsid w:val="1DFDBDDE"/>
    <w:rsid w:val="2D9F65B6"/>
    <w:rsid w:val="3F76E676"/>
    <w:rsid w:val="44D67180"/>
    <w:rsid w:val="48584542"/>
    <w:rsid w:val="4F342DC9"/>
    <w:rsid w:val="50263113"/>
    <w:rsid w:val="520E02D0"/>
    <w:rsid w:val="56BE637E"/>
    <w:rsid w:val="5BC57C00"/>
    <w:rsid w:val="5F4B672B"/>
    <w:rsid w:val="5FBD5039"/>
    <w:rsid w:val="6155013A"/>
    <w:rsid w:val="61EC04B8"/>
    <w:rsid w:val="64893B33"/>
    <w:rsid w:val="677A3ECD"/>
    <w:rsid w:val="6E3A72C1"/>
    <w:rsid w:val="77194CE2"/>
    <w:rsid w:val="796D5BAF"/>
    <w:rsid w:val="7975E48F"/>
    <w:rsid w:val="7A8232FB"/>
    <w:rsid w:val="7C79034D"/>
    <w:rsid w:val="FB0737DA"/>
    <w:rsid w:val="FE979692"/>
    <w:rsid w:val="FEFDD3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qFormat/>
    <w:uiPriority w:val="99"/>
    <w:rPr>
      <w:rFonts w:ascii="宋体" w:hAnsi="Times New Roman"/>
      <w:sz w:val="18"/>
      <w:szCs w:val="18"/>
    </w:rPr>
  </w:style>
  <w:style w:type="paragraph" w:styleId="3">
    <w:name w:val="annotation text"/>
    <w:basedOn w:val="1"/>
    <w:link w:val="23"/>
    <w:semiHidden/>
    <w:qFormat/>
    <w:uiPriority w:val="99"/>
    <w:pPr>
      <w:jc w:val="left"/>
    </w:pPr>
    <w:rPr>
      <w:rFonts w:ascii="Times New Roman" w:hAnsi="Times New Roman" w:eastAsia="仿宋_GB2312"/>
      <w:sz w:val="32"/>
    </w:rPr>
  </w:style>
  <w:style w:type="paragraph" w:styleId="4">
    <w:name w:val="Date"/>
    <w:basedOn w:val="1"/>
    <w:next w:val="1"/>
    <w:link w:val="27"/>
    <w:semiHidden/>
    <w:qFormat/>
    <w:uiPriority w:val="99"/>
    <w:pPr>
      <w:ind w:left="100" w:leftChars="2500"/>
    </w:pPr>
  </w:style>
  <w:style w:type="paragraph" w:styleId="5">
    <w:name w:val="Balloon Text"/>
    <w:basedOn w:val="1"/>
    <w:link w:val="25"/>
    <w:semiHidden/>
    <w:qFormat/>
    <w:uiPriority w:val="99"/>
    <w:rPr>
      <w:rFonts w:ascii="Times New Roman" w:hAnsi="Times New Roman" w:eastAsia="仿宋_GB2312"/>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4"/>
    <w:semiHidden/>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styleId="14">
    <w:name w:val="Emphasis"/>
    <w:qFormat/>
    <w:uiPriority w:val="99"/>
    <w:rPr>
      <w:rFonts w:cs="Times New Roman"/>
      <w:i/>
    </w:rPr>
  </w:style>
  <w:style w:type="character" w:styleId="15">
    <w:name w:val="annotation reference"/>
    <w:semiHidden/>
    <w:qFormat/>
    <w:uiPriority w:val="99"/>
    <w:rPr>
      <w:rFonts w:cs="Times New Roman"/>
      <w:sz w:val="21"/>
    </w:rPr>
  </w:style>
  <w:style w:type="character" w:customStyle="1" w:styleId="16">
    <w:name w:val="页眉 Char"/>
    <w:link w:val="7"/>
    <w:qFormat/>
    <w:locked/>
    <w:uiPriority w:val="99"/>
    <w:rPr>
      <w:rFonts w:ascii="Calibri" w:hAnsi="Calibri" w:eastAsia="宋体" w:cs="Times New Roman"/>
      <w:sz w:val="18"/>
      <w:szCs w:val="18"/>
    </w:rPr>
  </w:style>
  <w:style w:type="character" w:customStyle="1" w:styleId="17">
    <w:name w:val="页脚 Char"/>
    <w:link w:val="6"/>
    <w:qFormat/>
    <w:locked/>
    <w:uiPriority w:val="99"/>
    <w:rPr>
      <w:rFonts w:ascii="Calibri" w:hAnsi="Calibri" w:eastAsia="宋体" w:cs="Times New Roman"/>
      <w:sz w:val="18"/>
      <w:szCs w:val="18"/>
    </w:rPr>
  </w:style>
  <w:style w:type="character" w:customStyle="1" w:styleId="18">
    <w:name w:val="页脚 字符1"/>
    <w:qFormat/>
    <w:uiPriority w:val="99"/>
    <w:rPr>
      <w:rFonts w:eastAsia="仿宋_GB2312"/>
      <w:kern w:val="2"/>
      <w:sz w:val="18"/>
    </w:rPr>
  </w:style>
  <w:style w:type="character" w:customStyle="1" w:styleId="19">
    <w:name w:val="页眉 字符1"/>
    <w:qFormat/>
    <w:uiPriority w:val="99"/>
    <w:rPr>
      <w:rFonts w:eastAsia="仿宋_GB2312"/>
      <w:kern w:val="2"/>
      <w:sz w:val="18"/>
    </w:rPr>
  </w:style>
  <w:style w:type="table" w:customStyle="1" w:styleId="20">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文档结构图 Char"/>
    <w:link w:val="2"/>
    <w:semiHidden/>
    <w:qFormat/>
    <w:locked/>
    <w:uiPriority w:val="99"/>
    <w:rPr>
      <w:rFonts w:ascii="宋体" w:hAnsi="Times New Roman" w:eastAsia="宋体" w:cs="Times New Roman"/>
      <w:sz w:val="18"/>
      <w:szCs w:val="18"/>
    </w:rPr>
  </w:style>
  <w:style w:type="paragraph" w:customStyle="1" w:styleId="22">
    <w:name w:val="Table Paragraph"/>
    <w:basedOn w:val="1"/>
    <w:qFormat/>
    <w:uiPriority w:val="99"/>
    <w:pPr>
      <w:autoSpaceDE w:val="0"/>
      <w:autoSpaceDN w:val="0"/>
      <w:jc w:val="left"/>
    </w:pPr>
    <w:rPr>
      <w:rFonts w:ascii="宋体" w:hAnsi="宋体" w:cs="宋体"/>
      <w:kern w:val="0"/>
      <w:sz w:val="22"/>
      <w:lang w:eastAsia="en-US"/>
    </w:rPr>
  </w:style>
  <w:style w:type="character" w:customStyle="1" w:styleId="23">
    <w:name w:val="批注文字 Char"/>
    <w:link w:val="3"/>
    <w:semiHidden/>
    <w:qFormat/>
    <w:locked/>
    <w:uiPriority w:val="99"/>
    <w:rPr>
      <w:rFonts w:ascii="Times New Roman" w:hAnsi="Times New Roman" w:eastAsia="仿宋_GB2312" w:cs="Times New Roman"/>
      <w:sz w:val="32"/>
    </w:rPr>
  </w:style>
  <w:style w:type="character" w:customStyle="1" w:styleId="24">
    <w:name w:val="批注主题 Char"/>
    <w:link w:val="9"/>
    <w:semiHidden/>
    <w:qFormat/>
    <w:locked/>
    <w:uiPriority w:val="99"/>
    <w:rPr>
      <w:rFonts w:ascii="Times New Roman" w:hAnsi="Times New Roman" w:eastAsia="仿宋_GB2312" w:cs="Times New Roman"/>
      <w:b/>
      <w:bCs/>
      <w:sz w:val="32"/>
    </w:rPr>
  </w:style>
  <w:style w:type="character" w:customStyle="1" w:styleId="25">
    <w:name w:val="批注框文本 Char"/>
    <w:link w:val="5"/>
    <w:semiHidden/>
    <w:qFormat/>
    <w:locked/>
    <w:uiPriority w:val="99"/>
    <w:rPr>
      <w:rFonts w:ascii="Times New Roman" w:hAnsi="Times New Roman" w:eastAsia="仿宋_GB2312" w:cs="Times New Roman"/>
      <w:sz w:val="18"/>
      <w:szCs w:val="18"/>
    </w:rPr>
  </w:style>
  <w:style w:type="paragraph" w:styleId="26">
    <w:name w:val="List Paragraph"/>
    <w:basedOn w:val="1"/>
    <w:qFormat/>
    <w:uiPriority w:val="99"/>
    <w:pPr>
      <w:ind w:firstLine="420" w:firstLineChars="200"/>
    </w:pPr>
  </w:style>
  <w:style w:type="character" w:customStyle="1" w:styleId="27">
    <w:name w:val="日期 Char"/>
    <w:link w:val="4"/>
    <w:semiHidden/>
    <w:qFormat/>
    <w:locked/>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691</Words>
  <Characters>3939</Characters>
  <Lines>32</Lines>
  <Paragraphs>9</Paragraphs>
  <TotalTime>1</TotalTime>
  <ScaleCrop>false</ScaleCrop>
  <LinksUpToDate>false</LinksUpToDate>
  <CharactersWithSpaces>4621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2019-06-05T19:37:00Z</dcterms:created>
  <dc:creator>user</dc:creator>
  <cp:lastModifiedBy>张亚群</cp:lastModifiedBy>
  <cp:lastPrinted>2020-05-11T23:59:00Z</cp:lastPrinted>
  <dcterms:modified xsi:type="dcterms:W3CDTF">2022-03-24T17:06:24Z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D31D36B4C2D74667B9BB17FCCF1D824E</vt:lpwstr>
  </property>
</Properties>
</file>